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78E" w14:textId="77777777" w:rsidR="000D4C48" w:rsidRPr="00C81C2F" w:rsidRDefault="000D4C48" w:rsidP="000D4C48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NEW </w:t>
      </w:r>
      <w:r w:rsidRPr="00C81C2F">
        <w:rPr>
          <w:rFonts w:eastAsia="Times New Roman" w:cs="Times New Roman"/>
          <w:b/>
          <w:sz w:val="28"/>
          <w:szCs w:val="28"/>
        </w:rPr>
        <w:t>POLICY UPDATES</w:t>
      </w:r>
    </w:p>
    <w:p w14:paraId="3902E1A1" w14:textId="77777777" w:rsidR="000D4C48" w:rsidRPr="00C81C2F" w:rsidRDefault="000D4C48" w:rsidP="000D4C4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C81C2F">
        <w:rPr>
          <w:rFonts w:eastAsia="Times New Roman" w:cs="Times New Roman"/>
          <w:b/>
          <w:sz w:val="24"/>
          <w:szCs w:val="24"/>
        </w:rPr>
        <w:t>CLINICAL PAYMENT, CODING AND POLICY CHANGES</w:t>
      </w:r>
    </w:p>
    <w:p w14:paraId="3E96BEAC" w14:textId="77777777" w:rsidR="000D4C48" w:rsidRPr="00C81C2F" w:rsidRDefault="000D4C48" w:rsidP="000D4C48">
      <w:pPr>
        <w:spacing w:after="0"/>
        <w:rPr>
          <w:rFonts w:eastAsia="Times New Roman" w:cs="Times New Roman"/>
          <w:sz w:val="24"/>
          <w:szCs w:val="24"/>
        </w:rPr>
      </w:pPr>
      <w:r w:rsidRPr="00C81C2F">
        <w:rPr>
          <w:rFonts w:eastAsia="Times New Roman" w:cs="Times New Roman"/>
          <w:sz w:val="24"/>
          <w:szCs w:val="24"/>
        </w:rPr>
        <w:t xml:space="preserve">We regularly </w:t>
      </w:r>
      <w:r>
        <w:rPr>
          <w:rFonts w:eastAsia="Times New Roman" w:cs="Times New Roman"/>
          <w:sz w:val="24"/>
          <w:szCs w:val="24"/>
        </w:rPr>
        <w:t xml:space="preserve">augment </w:t>
      </w:r>
      <w:r w:rsidRPr="00C81C2F">
        <w:rPr>
          <w:rFonts w:eastAsia="Times New Roman" w:cs="Times New Roman"/>
          <w:sz w:val="24"/>
          <w:szCs w:val="24"/>
        </w:rPr>
        <w:t xml:space="preserve">our clinical, payment and coding policy positions as part of our ongoing policy review processes. In an effort to keep our providers informed, please see the below chart of upcoming </w:t>
      </w:r>
      <w:r>
        <w:rPr>
          <w:rFonts w:eastAsia="Times New Roman" w:cs="Times New Roman"/>
          <w:sz w:val="24"/>
          <w:szCs w:val="24"/>
        </w:rPr>
        <w:t>new policies</w:t>
      </w:r>
      <w:r w:rsidRPr="00C81C2F">
        <w:rPr>
          <w:rFonts w:eastAsia="Times New Roman" w:cs="Times New Roman"/>
          <w:sz w:val="24"/>
          <w:szCs w:val="24"/>
        </w:rPr>
        <w:t>.</w:t>
      </w:r>
    </w:p>
    <w:p w14:paraId="381D9684" w14:textId="77777777" w:rsidR="000D4C48" w:rsidRPr="00C81C2F" w:rsidRDefault="000D4C48" w:rsidP="000D4C48">
      <w:pPr>
        <w:spacing w:after="0"/>
        <w:rPr>
          <w:rFonts w:eastAsia="Times New Roman" w:cs="Times New Roman"/>
          <w:sz w:val="24"/>
          <w:szCs w:val="24"/>
        </w:rPr>
      </w:pPr>
    </w:p>
    <w:p w14:paraId="62240B1C" w14:textId="34DB6F44" w:rsidR="000D4C48" w:rsidRPr="00550815" w:rsidRDefault="000D4C48" w:rsidP="000D4C48">
      <w:pPr>
        <w:spacing w:after="0"/>
        <w:rPr>
          <w:rFonts w:eastAsia="Times New Roman" w:cs="Times New Roman"/>
          <w:i/>
          <w:color w:val="FF0000"/>
          <w:sz w:val="24"/>
          <w:szCs w:val="24"/>
        </w:rPr>
      </w:pPr>
      <w:r w:rsidRPr="00614036">
        <w:rPr>
          <w:rFonts w:eastAsia="Times New Roman" w:cstheme="minorHAnsi"/>
          <w:sz w:val="24"/>
          <w:szCs w:val="24"/>
        </w:rPr>
        <w:t xml:space="preserve">Effective for dates of service beginning </w:t>
      </w:r>
      <w:r w:rsidR="00614036" w:rsidRPr="00614036">
        <w:rPr>
          <w:rFonts w:eastAsia="Times New Roman" w:cstheme="minorHAnsi"/>
          <w:sz w:val="24"/>
          <w:szCs w:val="24"/>
        </w:rPr>
        <w:t>06/01/2023</w:t>
      </w:r>
      <w:r w:rsidRPr="00C81C2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3F4012" w:rsidRPr="00E87456" w14:paraId="732244F1" w14:textId="77777777" w:rsidTr="00BE3E9B">
        <w:trPr>
          <w:trHeight w:val="278"/>
        </w:trPr>
        <w:tc>
          <w:tcPr>
            <w:tcW w:w="9000" w:type="dxa"/>
          </w:tcPr>
          <w:p w14:paraId="4DB7C34C" w14:textId="77777777" w:rsidR="003F4012" w:rsidRDefault="00E87456" w:rsidP="00A45007">
            <w:pPr>
              <w:pStyle w:val="NoSpacing"/>
            </w:pPr>
            <w:r w:rsidRPr="00E87456">
              <w:rPr>
                <w:b/>
                <w:bCs/>
                <w:u w:val="single"/>
              </w:rPr>
              <w:t>Modifier Policy-Anatomical Modifiers-</w:t>
            </w:r>
            <w:r w:rsidRPr="00E87456">
              <w:t>According to our policy, which is based on CMS Policy, AMA Coding with Modifiers, AMA CPT Manual and the HCPCS Level II Manual, anatomic-specific modifiers designate the area or part of the body on which the procedure is performed. These modifiers are required whenever they are appropriate.</w:t>
            </w:r>
            <w:r w:rsidR="00A45007">
              <w:t xml:space="preserve"> </w:t>
            </w:r>
          </w:p>
          <w:p w14:paraId="3913F322" w14:textId="77777777" w:rsidR="00E87456" w:rsidRDefault="00E87456" w:rsidP="00A45007">
            <w:pPr>
              <w:pStyle w:val="NoSpacing"/>
            </w:pPr>
          </w:p>
          <w:p w14:paraId="7BE5BC7C" w14:textId="77777777" w:rsidR="00E87456" w:rsidRDefault="00E87456" w:rsidP="00A45007">
            <w:pPr>
              <w:pStyle w:val="NoSpacing"/>
            </w:pPr>
            <w:r>
              <w:t>The following anatomic-specific modifiers include:</w:t>
            </w:r>
          </w:p>
          <w:p w14:paraId="339EE759" w14:textId="77777777" w:rsidR="00E87456" w:rsidRPr="00E87456" w:rsidRDefault="00E87456" w:rsidP="00A45007">
            <w:pPr>
              <w:pStyle w:val="NoSpacing"/>
            </w:pPr>
            <w:r>
              <w:t>-</w:t>
            </w:r>
            <w:r w:rsidRPr="00E87456">
              <w:t>LT (Left side), RT (Right side), and 50 (Bilateral procedure)</w:t>
            </w:r>
          </w:p>
          <w:p w14:paraId="402F6EEF" w14:textId="77777777" w:rsidR="00E87456" w:rsidRPr="00E87456" w:rsidRDefault="00E87456" w:rsidP="00A45007">
            <w:pPr>
              <w:pStyle w:val="NoSpacing"/>
            </w:pPr>
            <w:r w:rsidRPr="00E87456">
              <w:t>-Finger modifiers (FA-F9) and bilateral modifiers (LT [Left side], RT [Right side], 50 [Bilateral procedure])</w:t>
            </w:r>
          </w:p>
          <w:p w14:paraId="2B765304" w14:textId="77777777" w:rsidR="00E87456" w:rsidRPr="00E87456" w:rsidRDefault="00E87456" w:rsidP="00A45007">
            <w:pPr>
              <w:pStyle w:val="NoSpacing"/>
            </w:pPr>
            <w:r w:rsidRPr="00E87456">
              <w:t>-Toe modifiers (TA-T9) and bilateral modifiers (LT [Left side], RT [Right side], 50 [Bilateral procedure])</w:t>
            </w:r>
          </w:p>
          <w:p w14:paraId="6D0EFD8F" w14:textId="36D69616" w:rsidR="00E87456" w:rsidRPr="00796F72" w:rsidRDefault="00E87456" w:rsidP="00E87456">
            <w:pPr>
              <w:pStyle w:val="NoSpacing"/>
            </w:pPr>
            <w:r w:rsidRPr="00E87456">
              <w:t>-Eyelid anatomical modifier (E1-E4) or LT (Left side), RT (Right side), and 50 (Bilateral procedure)</w:t>
            </w:r>
          </w:p>
        </w:tc>
      </w:tr>
      <w:tr w:rsidR="00E87456" w:rsidRPr="00E87456" w14:paraId="681B4A0B" w14:textId="77777777" w:rsidTr="00BE3E9B">
        <w:trPr>
          <w:trHeight w:val="278"/>
        </w:trPr>
        <w:tc>
          <w:tcPr>
            <w:tcW w:w="9000" w:type="dxa"/>
          </w:tcPr>
          <w:p w14:paraId="01DBBBDA" w14:textId="4DA01E9E" w:rsidR="00223ACD" w:rsidRDefault="00223ACD" w:rsidP="0022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67F8">
              <w:rPr>
                <w:b/>
                <w:bCs/>
                <w:u w:val="single"/>
              </w:rPr>
              <w:t>Drug and Biological Policy-</w:t>
            </w:r>
            <w:r w:rsidRPr="00FD67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Laboratory Monitoring</w:t>
            </w:r>
            <w:r w:rsidR="00FD67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</w:t>
            </w:r>
          </w:p>
          <w:p w14:paraId="082C02F2" w14:textId="1B79B3CA" w:rsidR="00223ACD" w:rsidRDefault="00223ACD" w:rsidP="0022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6AF0A" w14:textId="77777777" w:rsidR="00E87456" w:rsidRDefault="00223ACD" w:rsidP="00796F72">
            <w:pPr>
              <w:pStyle w:val="NoSpacing"/>
            </w:pPr>
            <w:r w:rsidRPr="00F9455C">
              <w:t>Pemetrexed- According to our policy, which is based on the FDA-approved package insert/prescribing information, patients being treated with pemetrexed (lyophilized) should not begin a new treatment cycle unless the creatinine clearance is greater than or equal to 45 mL/min.</w:t>
            </w:r>
            <w:r w:rsidRPr="00E87456">
              <w:t xml:space="preserve"> </w:t>
            </w:r>
          </w:p>
          <w:p w14:paraId="28A99089" w14:textId="77777777" w:rsidR="00223ACD" w:rsidRDefault="00223ACD" w:rsidP="00796F72">
            <w:pPr>
              <w:pStyle w:val="NoSpacing"/>
            </w:pPr>
          </w:p>
          <w:p w14:paraId="362943D0" w14:textId="5C17C989" w:rsidR="00223ACD" w:rsidRPr="00E87456" w:rsidRDefault="00223ACD" w:rsidP="00796F72">
            <w:pPr>
              <w:pStyle w:val="NoSpacing"/>
            </w:pPr>
            <w:r>
              <w:t>Panitumumab-</w:t>
            </w:r>
            <w:r w:rsidR="00FD67F8" w:rsidRPr="00F9455C">
              <w:t xml:space="preserve"> According to the FDA-approved package insert/prescribing information and the pharmaceutical compendia, panitumumab is used for the treatment of patients with wild-type RAS (defined as wild-type in both KRAS and NRAS as determined by an FDA-approved test for this use) metastatic colorectal cancer. </w:t>
            </w:r>
            <w:r w:rsidR="00F9455C" w:rsidRPr="00F9455C">
              <w:t>To</w:t>
            </w:r>
            <w:r w:rsidR="00FD67F8" w:rsidRPr="00F9455C">
              <w:t xml:space="preserve"> determine RAS mutation status, appropriate laboratory must have been performed in the patient's history.</w:t>
            </w:r>
          </w:p>
        </w:tc>
      </w:tr>
      <w:tr w:rsidR="00583F07" w:rsidRPr="00E87456" w14:paraId="13426DC3" w14:textId="77777777" w:rsidTr="00BE3E9B">
        <w:trPr>
          <w:trHeight w:val="278"/>
        </w:trPr>
        <w:tc>
          <w:tcPr>
            <w:tcW w:w="9000" w:type="dxa"/>
          </w:tcPr>
          <w:p w14:paraId="7307F4AC" w14:textId="27820AF4" w:rsidR="00583F07" w:rsidRPr="001B5041" w:rsidRDefault="001B5041" w:rsidP="00223AC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  <w:u w:val="single"/>
              </w:rPr>
              <w:t>Radiation Oncology-Intensity Modulated Radiotherapy Plan-</w:t>
            </w:r>
            <w:r>
              <w:t>According to our policy, simulation-aided filed setting is considered part of intensity modulated radiotherapy planning and should not reported separately within a 2 week period.</w:t>
            </w:r>
          </w:p>
        </w:tc>
      </w:tr>
    </w:tbl>
    <w:p w14:paraId="1EDE7497" w14:textId="77777777" w:rsidR="00953722" w:rsidRPr="00E87456" w:rsidRDefault="00953722">
      <w:pPr>
        <w:rPr>
          <w:rFonts w:eastAsia="Times New Roman" w:cs="Times New Roman"/>
        </w:rPr>
      </w:pPr>
    </w:p>
    <w:sectPr w:rsidR="00953722" w:rsidRPr="00E8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D6B4" w14:textId="77777777" w:rsidR="00930B96" w:rsidRDefault="00930B96" w:rsidP="00930B96">
      <w:pPr>
        <w:spacing w:after="0" w:line="240" w:lineRule="auto"/>
      </w:pPr>
      <w:r>
        <w:separator/>
      </w:r>
    </w:p>
  </w:endnote>
  <w:endnote w:type="continuationSeparator" w:id="0">
    <w:p w14:paraId="14D06390" w14:textId="77777777" w:rsidR="00930B96" w:rsidRDefault="00930B96" w:rsidP="0093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9F80" w14:textId="77777777" w:rsidR="00930B96" w:rsidRDefault="00930B96" w:rsidP="00930B96">
      <w:pPr>
        <w:spacing w:after="0" w:line="240" w:lineRule="auto"/>
      </w:pPr>
      <w:r>
        <w:separator/>
      </w:r>
    </w:p>
  </w:footnote>
  <w:footnote w:type="continuationSeparator" w:id="0">
    <w:p w14:paraId="7895DD4B" w14:textId="77777777" w:rsidR="00930B96" w:rsidRDefault="00930B96" w:rsidP="0093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48"/>
    <w:rsid w:val="00001885"/>
    <w:rsid w:val="00010CC7"/>
    <w:rsid w:val="00016917"/>
    <w:rsid w:val="00021071"/>
    <w:rsid w:val="0003049E"/>
    <w:rsid w:val="000423A5"/>
    <w:rsid w:val="00060E01"/>
    <w:rsid w:val="00073F7B"/>
    <w:rsid w:val="0008254E"/>
    <w:rsid w:val="000906AF"/>
    <w:rsid w:val="00091984"/>
    <w:rsid w:val="000922D4"/>
    <w:rsid w:val="00097670"/>
    <w:rsid w:val="000A6938"/>
    <w:rsid w:val="000C06DD"/>
    <w:rsid w:val="000C26C8"/>
    <w:rsid w:val="000D4C48"/>
    <w:rsid w:val="000D79A3"/>
    <w:rsid w:val="00106C6F"/>
    <w:rsid w:val="00126200"/>
    <w:rsid w:val="00130DED"/>
    <w:rsid w:val="00134491"/>
    <w:rsid w:val="001346DF"/>
    <w:rsid w:val="00146A60"/>
    <w:rsid w:val="00161805"/>
    <w:rsid w:val="0019151C"/>
    <w:rsid w:val="001918FA"/>
    <w:rsid w:val="0019361E"/>
    <w:rsid w:val="00194D86"/>
    <w:rsid w:val="00197AE1"/>
    <w:rsid w:val="001A3730"/>
    <w:rsid w:val="001A60E2"/>
    <w:rsid w:val="001A746B"/>
    <w:rsid w:val="001B0F85"/>
    <w:rsid w:val="001B5041"/>
    <w:rsid w:val="001C1AC4"/>
    <w:rsid w:val="001D3024"/>
    <w:rsid w:val="001E6130"/>
    <w:rsid w:val="00203D21"/>
    <w:rsid w:val="00212923"/>
    <w:rsid w:val="00217CF2"/>
    <w:rsid w:val="00223ACD"/>
    <w:rsid w:val="002347BA"/>
    <w:rsid w:val="0025475A"/>
    <w:rsid w:val="00273AB1"/>
    <w:rsid w:val="00274AD1"/>
    <w:rsid w:val="0028701A"/>
    <w:rsid w:val="00295255"/>
    <w:rsid w:val="00297F62"/>
    <w:rsid w:val="002A3E31"/>
    <w:rsid w:val="002A5491"/>
    <w:rsid w:val="002B0F2D"/>
    <w:rsid w:val="002D2B79"/>
    <w:rsid w:val="002E2107"/>
    <w:rsid w:val="0031413D"/>
    <w:rsid w:val="00317B62"/>
    <w:rsid w:val="003226A3"/>
    <w:rsid w:val="003359E8"/>
    <w:rsid w:val="00344726"/>
    <w:rsid w:val="00365248"/>
    <w:rsid w:val="00366035"/>
    <w:rsid w:val="00367BEC"/>
    <w:rsid w:val="00371827"/>
    <w:rsid w:val="003A438F"/>
    <w:rsid w:val="003B08EE"/>
    <w:rsid w:val="003B0958"/>
    <w:rsid w:val="003D152C"/>
    <w:rsid w:val="003D297A"/>
    <w:rsid w:val="003D2BA3"/>
    <w:rsid w:val="003E18BA"/>
    <w:rsid w:val="003F4012"/>
    <w:rsid w:val="003F4CDE"/>
    <w:rsid w:val="003F7437"/>
    <w:rsid w:val="0042075D"/>
    <w:rsid w:val="00431785"/>
    <w:rsid w:val="004403ED"/>
    <w:rsid w:val="00447C0B"/>
    <w:rsid w:val="00453E33"/>
    <w:rsid w:val="00454F25"/>
    <w:rsid w:val="00457A84"/>
    <w:rsid w:val="00471C07"/>
    <w:rsid w:val="004723D2"/>
    <w:rsid w:val="00491C5E"/>
    <w:rsid w:val="004A3462"/>
    <w:rsid w:val="004B28C5"/>
    <w:rsid w:val="004C6DC4"/>
    <w:rsid w:val="004F7719"/>
    <w:rsid w:val="00503883"/>
    <w:rsid w:val="005057B4"/>
    <w:rsid w:val="005136CD"/>
    <w:rsid w:val="00520F0C"/>
    <w:rsid w:val="00524DD2"/>
    <w:rsid w:val="0053304A"/>
    <w:rsid w:val="005338EF"/>
    <w:rsid w:val="00537CE9"/>
    <w:rsid w:val="00542692"/>
    <w:rsid w:val="00543D9E"/>
    <w:rsid w:val="00544C21"/>
    <w:rsid w:val="00553C43"/>
    <w:rsid w:val="005659F6"/>
    <w:rsid w:val="00570AB1"/>
    <w:rsid w:val="0057306B"/>
    <w:rsid w:val="00583F07"/>
    <w:rsid w:val="00587B3C"/>
    <w:rsid w:val="005913FF"/>
    <w:rsid w:val="0059458B"/>
    <w:rsid w:val="00594C3A"/>
    <w:rsid w:val="00595F44"/>
    <w:rsid w:val="005B22DB"/>
    <w:rsid w:val="005D333E"/>
    <w:rsid w:val="005E11EE"/>
    <w:rsid w:val="005F7FB8"/>
    <w:rsid w:val="006002DF"/>
    <w:rsid w:val="00600C24"/>
    <w:rsid w:val="00602268"/>
    <w:rsid w:val="00603DD2"/>
    <w:rsid w:val="00604A03"/>
    <w:rsid w:val="00606BDB"/>
    <w:rsid w:val="00614036"/>
    <w:rsid w:val="00614CC7"/>
    <w:rsid w:val="006207EB"/>
    <w:rsid w:val="0062437B"/>
    <w:rsid w:val="006342C6"/>
    <w:rsid w:val="00642648"/>
    <w:rsid w:val="00651838"/>
    <w:rsid w:val="006542EF"/>
    <w:rsid w:val="006603D6"/>
    <w:rsid w:val="00673090"/>
    <w:rsid w:val="006844D6"/>
    <w:rsid w:val="00693F08"/>
    <w:rsid w:val="006A1C8A"/>
    <w:rsid w:val="006B4ACF"/>
    <w:rsid w:val="006E5C1F"/>
    <w:rsid w:val="006F18FF"/>
    <w:rsid w:val="006F36FD"/>
    <w:rsid w:val="006F50B9"/>
    <w:rsid w:val="00713B3A"/>
    <w:rsid w:val="007260D0"/>
    <w:rsid w:val="00730397"/>
    <w:rsid w:val="0073039A"/>
    <w:rsid w:val="00732FD6"/>
    <w:rsid w:val="00735201"/>
    <w:rsid w:val="007439A9"/>
    <w:rsid w:val="00744398"/>
    <w:rsid w:val="00763C83"/>
    <w:rsid w:val="00764365"/>
    <w:rsid w:val="0076512A"/>
    <w:rsid w:val="00775F54"/>
    <w:rsid w:val="00784640"/>
    <w:rsid w:val="007872E0"/>
    <w:rsid w:val="00787F91"/>
    <w:rsid w:val="00796F72"/>
    <w:rsid w:val="007A6D7A"/>
    <w:rsid w:val="007C256B"/>
    <w:rsid w:val="007C38A5"/>
    <w:rsid w:val="007D380D"/>
    <w:rsid w:val="007D4FE6"/>
    <w:rsid w:val="007F67EE"/>
    <w:rsid w:val="007F6A88"/>
    <w:rsid w:val="0080334C"/>
    <w:rsid w:val="008064C6"/>
    <w:rsid w:val="008133AD"/>
    <w:rsid w:val="00821F9D"/>
    <w:rsid w:val="008257DB"/>
    <w:rsid w:val="00831102"/>
    <w:rsid w:val="0083198D"/>
    <w:rsid w:val="00832846"/>
    <w:rsid w:val="00835ADD"/>
    <w:rsid w:val="0084029C"/>
    <w:rsid w:val="008574C5"/>
    <w:rsid w:val="008649FA"/>
    <w:rsid w:val="00867E58"/>
    <w:rsid w:val="00871BD7"/>
    <w:rsid w:val="008914E7"/>
    <w:rsid w:val="00892A78"/>
    <w:rsid w:val="00897B0D"/>
    <w:rsid w:val="008A4010"/>
    <w:rsid w:val="008B0994"/>
    <w:rsid w:val="008D7280"/>
    <w:rsid w:val="008E0E1D"/>
    <w:rsid w:val="008E215F"/>
    <w:rsid w:val="00901E2A"/>
    <w:rsid w:val="009145A3"/>
    <w:rsid w:val="00925FFF"/>
    <w:rsid w:val="00930B96"/>
    <w:rsid w:val="0093524F"/>
    <w:rsid w:val="0093755D"/>
    <w:rsid w:val="0094667A"/>
    <w:rsid w:val="00952F9B"/>
    <w:rsid w:val="00953722"/>
    <w:rsid w:val="00956767"/>
    <w:rsid w:val="0098534C"/>
    <w:rsid w:val="00990703"/>
    <w:rsid w:val="009A1AF1"/>
    <w:rsid w:val="009A4965"/>
    <w:rsid w:val="009A6046"/>
    <w:rsid w:val="009B109F"/>
    <w:rsid w:val="009B20E9"/>
    <w:rsid w:val="009B4555"/>
    <w:rsid w:val="009B67CC"/>
    <w:rsid w:val="009C122B"/>
    <w:rsid w:val="009C442C"/>
    <w:rsid w:val="009C66A1"/>
    <w:rsid w:val="009C6E24"/>
    <w:rsid w:val="009D47FC"/>
    <w:rsid w:val="009D6BF6"/>
    <w:rsid w:val="009E47EF"/>
    <w:rsid w:val="009E6821"/>
    <w:rsid w:val="00A1195C"/>
    <w:rsid w:val="00A15C1A"/>
    <w:rsid w:val="00A17790"/>
    <w:rsid w:val="00A3238A"/>
    <w:rsid w:val="00A45007"/>
    <w:rsid w:val="00A4603A"/>
    <w:rsid w:val="00A472D4"/>
    <w:rsid w:val="00A509E8"/>
    <w:rsid w:val="00A7256B"/>
    <w:rsid w:val="00A7337E"/>
    <w:rsid w:val="00A86B19"/>
    <w:rsid w:val="00AC112F"/>
    <w:rsid w:val="00AE367D"/>
    <w:rsid w:val="00B04DA4"/>
    <w:rsid w:val="00B421E8"/>
    <w:rsid w:val="00B5454A"/>
    <w:rsid w:val="00B5691D"/>
    <w:rsid w:val="00B614D1"/>
    <w:rsid w:val="00B64794"/>
    <w:rsid w:val="00B6751D"/>
    <w:rsid w:val="00B742FE"/>
    <w:rsid w:val="00B74ADD"/>
    <w:rsid w:val="00B8031D"/>
    <w:rsid w:val="00B87366"/>
    <w:rsid w:val="00B93E96"/>
    <w:rsid w:val="00BB0312"/>
    <w:rsid w:val="00BB1A39"/>
    <w:rsid w:val="00BC3849"/>
    <w:rsid w:val="00BE05A2"/>
    <w:rsid w:val="00BE1799"/>
    <w:rsid w:val="00BE3E9B"/>
    <w:rsid w:val="00BE53D9"/>
    <w:rsid w:val="00BF18A8"/>
    <w:rsid w:val="00BF40CB"/>
    <w:rsid w:val="00BF519A"/>
    <w:rsid w:val="00C11DF0"/>
    <w:rsid w:val="00C159D7"/>
    <w:rsid w:val="00C15CBF"/>
    <w:rsid w:val="00C16D75"/>
    <w:rsid w:val="00C2634C"/>
    <w:rsid w:val="00C31E86"/>
    <w:rsid w:val="00C44383"/>
    <w:rsid w:val="00C47DB2"/>
    <w:rsid w:val="00C65D8E"/>
    <w:rsid w:val="00C66E9D"/>
    <w:rsid w:val="00C75A23"/>
    <w:rsid w:val="00C85061"/>
    <w:rsid w:val="00C85280"/>
    <w:rsid w:val="00CB446A"/>
    <w:rsid w:val="00CB4D57"/>
    <w:rsid w:val="00CC4B6E"/>
    <w:rsid w:val="00CC5F83"/>
    <w:rsid w:val="00CC6AB1"/>
    <w:rsid w:val="00CC7030"/>
    <w:rsid w:val="00CD4D21"/>
    <w:rsid w:val="00CE5487"/>
    <w:rsid w:val="00D00CE5"/>
    <w:rsid w:val="00D05744"/>
    <w:rsid w:val="00D06859"/>
    <w:rsid w:val="00D1705D"/>
    <w:rsid w:val="00D17F09"/>
    <w:rsid w:val="00D30E97"/>
    <w:rsid w:val="00D357C0"/>
    <w:rsid w:val="00D37EA3"/>
    <w:rsid w:val="00D40A06"/>
    <w:rsid w:val="00D60D13"/>
    <w:rsid w:val="00D65C1E"/>
    <w:rsid w:val="00D670A3"/>
    <w:rsid w:val="00D80C7B"/>
    <w:rsid w:val="00D964BF"/>
    <w:rsid w:val="00DC40C4"/>
    <w:rsid w:val="00DC436D"/>
    <w:rsid w:val="00DC51F0"/>
    <w:rsid w:val="00DC63DC"/>
    <w:rsid w:val="00DC6A2F"/>
    <w:rsid w:val="00DD524F"/>
    <w:rsid w:val="00DE1CE7"/>
    <w:rsid w:val="00DE7C40"/>
    <w:rsid w:val="00DF0C01"/>
    <w:rsid w:val="00E0290E"/>
    <w:rsid w:val="00E05623"/>
    <w:rsid w:val="00E07459"/>
    <w:rsid w:val="00E12647"/>
    <w:rsid w:val="00E321A8"/>
    <w:rsid w:val="00E40DC4"/>
    <w:rsid w:val="00E454BD"/>
    <w:rsid w:val="00E54DB9"/>
    <w:rsid w:val="00E72D58"/>
    <w:rsid w:val="00E73AB6"/>
    <w:rsid w:val="00E77069"/>
    <w:rsid w:val="00E8047A"/>
    <w:rsid w:val="00E82D8B"/>
    <w:rsid w:val="00E87456"/>
    <w:rsid w:val="00E95612"/>
    <w:rsid w:val="00E96A28"/>
    <w:rsid w:val="00EB44EF"/>
    <w:rsid w:val="00EC78B9"/>
    <w:rsid w:val="00EC7C46"/>
    <w:rsid w:val="00ED77B6"/>
    <w:rsid w:val="00EE7049"/>
    <w:rsid w:val="00EF7161"/>
    <w:rsid w:val="00EF7EA6"/>
    <w:rsid w:val="00F116E1"/>
    <w:rsid w:val="00F12932"/>
    <w:rsid w:val="00F16994"/>
    <w:rsid w:val="00F27E6D"/>
    <w:rsid w:val="00F3254A"/>
    <w:rsid w:val="00F41271"/>
    <w:rsid w:val="00F43EFD"/>
    <w:rsid w:val="00F557DD"/>
    <w:rsid w:val="00F62947"/>
    <w:rsid w:val="00F674D7"/>
    <w:rsid w:val="00F71DBB"/>
    <w:rsid w:val="00F832F2"/>
    <w:rsid w:val="00F9455C"/>
    <w:rsid w:val="00F96FB5"/>
    <w:rsid w:val="00F97AED"/>
    <w:rsid w:val="00FA2CD4"/>
    <w:rsid w:val="00FA6354"/>
    <w:rsid w:val="00FC2A2F"/>
    <w:rsid w:val="00FC6069"/>
    <w:rsid w:val="00FD67F8"/>
    <w:rsid w:val="00FE0D16"/>
    <w:rsid w:val="00FE5379"/>
    <w:rsid w:val="00FE59CF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78185"/>
  <w15:docId w15:val="{E55B2E29-EB26-4BB0-B564-79AA3B3F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4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F7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F1F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458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71D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71DB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A2CD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4FA7-9FAC-4A0A-9029-1887EA7D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Cotiviti Corporation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Tague</dc:creator>
  <cp:lastModifiedBy>Shanna Hacker</cp:lastModifiedBy>
  <cp:revision>2</cp:revision>
  <cp:lastPrinted>2023-03-28T19:56:00Z</cp:lastPrinted>
  <dcterms:created xsi:type="dcterms:W3CDTF">2023-03-28T19:57:00Z</dcterms:created>
  <dcterms:modified xsi:type="dcterms:W3CDTF">2023-03-28T19:57:00Z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2023-03-16T15:39:34Z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330db57d-57cf-41fc-be70-28443b006ebd</vt:lpwstr>
  </property>
  <property fmtid="{D5CDD505-2E9C-101B-9397-08002B2CF9AE}" pid="8" name="MSIP_Label_67599526-06ca-49cc-9fa9-5307800a949a_ContentBits">
    <vt:lpwstr>0</vt:lpwstr>
  </property>
</Properties>
</file>